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E6A5D">
      <w:pPr>
        <w:spacing w:before="112" w:line="250" w:lineRule="auto"/>
        <w:ind w:right="755"/>
        <w:rPr>
          <w:rFonts w:hint="default" w:ascii="Times New Roman" w:hAnsi="Times New Roman" w:eastAsia="黑体" w:cs="Times New Roman"/>
          <w:b w:val="0"/>
          <w:bCs w:val="0"/>
          <w:spacing w:val="4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pacing w:val="4"/>
          <w:sz w:val="30"/>
          <w:szCs w:val="30"/>
          <w:lang w:val="en-US" w:eastAsia="zh-CN"/>
        </w:rPr>
        <w:t>附件5</w:t>
      </w:r>
    </w:p>
    <w:p w14:paraId="0197B571">
      <w:pPr>
        <w:spacing w:before="112" w:line="250" w:lineRule="auto"/>
        <w:ind w:right="755"/>
        <w:jc w:val="center"/>
        <w:rPr>
          <w:rFonts w:ascii="宋体" w:hAnsi="宋体" w:eastAsia="宋体" w:cs="宋体"/>
          <w:b/>
          <w:bCs/>
          <w:spacing w:val="4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第六届长三角民办高校教师教学技能大赛</w:t>
      </w:r>
    </w:p>
    <w:p w14:paraId="71AB9E8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2" w:after="0" w:afterLines="50" w:line="250" w:lineRule="auto"/>
        <w:ind w:right="754"/>
        <w:jc w:val="center"/>
        <w:textAlignment w:val="baseline"/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江苏省晋级赛评分标准</w:t>
      </w:r>
      <w:bookmarkStart w:id="0" w:name="_GoBack"/>
      <w:bookmarkEnd w:id="0"/>
    </w:p>
    <w:tbl>
      <w:tblPr>
        <w:tblStyle w:val="5"/>
        <w:tblW w:w="94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1807"/>
        <w:gridCol w:w="6769"/>
      </w:tblGrid>
      <w:tr w14:paraId="1C7E19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844" w:type="dxa"/>
            <w:vAlign w:val="top"/>
          </w:tcPr>
          <w:p w14:paraId="2C92AD1B">
            <w:pPr>
              <w:pStyle w:val="6"/>
              <w:spacing w:before="183" w:line="225" w:lineRule="auto"/>
              <w:ind w:left="192"/>
            </w:pPr>
            <w:r>
              <w:rPr>
                <w:b/>
                <w:bCs/>
                <w:spacing w:val="1"/>
              </w:rPr>
              <w:t>指标</w:t>
            </w:r>
          </w:p>
        </w:tc>
        <w:tc>
          <w:tcPr>
            <w:tcW w:w="8576" w:type="dxa"/>
            <w:gridSpan w:val="2"/>
            <w:vAlign w:val="top"/>
          </w:tcPr>
          <w:p w14:paraId="4B61A2EA">
            <w:pPr>
              <w:pStyle w:val="6"/>
              <w:spacing w:before="183" w:line="225" w:lineRule="auto"/>
              <w:ind w:left="3812"/>
            </w:pPr>
            <w:r>
              <w:rPr>
                <w:b/>
                <w:bCs/>
                <w:spacing w:val="5"/>
              </w:rPr>
              <w:t>评价要点</w:t>
            </w:r>
          </w:p>
        </w:tc>
      </w:tr>
      <w:tr w14:paraId="5A80DA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44" w:type="dxa"/>
            <w:vMerge w:val="restart"/>
            <w:tcBorders>
              <w:bottom w:val="nil"/>
            </w:tcBorders>
            <w:vAlign w:val="top"/>
          </w:tcPr>
          <w:p w14:paraId="47C443B9">
            <w:pPr>
              <w:spacing w:line="244" w:lineRule="auto"/>
              <w:rPr>
                <w:rFonts w:ascii="Arial"/>
                <w:sz w:val="21"/>
              </w:rPr>
            </w:pPr>
          </w:p>
          <w:p w14:paraId="18F953E3">
            <w:pPr>
              <w:spacing w:line="244" w:lineRule="auto"/>
              <w:rPr>
                <w:rFonts w:ascii="Arial"/>
                <w:sz w:val="21"/>
              </w:rPr>
            </w:pPr>
          </w:p>
          <w:p w14:paraId="5304A2AB">
            <w:pPr>
              <w:spacing w:line="244" w:lineRule="auto"/>
              <w:rPr>
                <w:rFonts w:ascii="Arial"/>
                <w:sz w:val="21"/>
              </w:rPr>
            </w:pPr>
          </w:p>
          <w:p w14:paraId="07C0F0DF">
            <w:pPr>
              <w:spacing w:line="245" w:lineRule="auto"/>
              <w:rPr>
                <w:rFonts w:ascii="Arial"/>
                <w:sz w:val="21"/>
              </w:rPr>
            </w:pPr>
          </w:p>
          <w:p w14:paraId="2402D23C">
            <w:pPr>
              <w:spacing w:line="245" w:lineRule="auto"/>
              <w:rPr>
                <w:rFonts w:ascii="Arial"/>
                <w:sz w:val="21"/>
              </w:rPr>
            </w:pPr>
          </w:p>
          <w:p w14:paraId="19813E2B">
            <w:pPr>
              <w:spacing w:line="1420" w:lineRule="exact"/>
              <w:ind w:firstLine="309"/>
            </w:pPr>
            <w:r>
              <w:rPr>
                <w:position w:val="-28"/>
              </w:rPr>
              <w:drawing>
                <wp:inline distT="0" distB="0" distL="0" distR="0">
                  <wp:extent cx="137795" cy="901700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08" cy="901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7" w:type="dxa"/>
            <w:vAlign w:val="top"/>
          </w:tcPr>
          <w:p w14:paraId="774D72B6">
            <w:pPr>
              <w:pStyle w:val="6"/>
              <w:spacing w:before="283" w:line="225" w:lineRule="auto"/>
              <w:ind w:left="428"/>
            </w:pPr>
            <w:r>
              <w:rPr>
                <w:spacing w:val="7"/>
              </w:rPr>
              <w:t>教育理念</w:t>
            </w:r>
          </w:p>
        </w:tc>
        <w:tc>
          <w:tcPr>
            <w:tcW w:w="6769" w:type="dxa"/>
            <w:vAlign w:val="top"/>
          </w:tcPr>
          <w:p w14:paraId="197016F6">
            <w:pPr>
              <w:pStyle w:val="6"/>
              <w:spacing w:before="50" w:line="234" w:lineRule="auto"/>
              <w:ind w:left="116" w:right="205" w:firstLine="7"/>
            </w:pPr>
            <w:r>
              <w:rPr>
                <w:spacing w:val="7"/>
              </w:rPr>
              <w:t>坚持立德树人，体现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spacing w:val="7"/>
              </w:rPr>
              <w:t>以学生发展为中心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”</w:t>
            </w:r>
            <w:r>
              <w:rPr>
                <w:spacing w:val="7"/>
              </w:rPr>
              <w:t>教育理念，将价值塑</w:t>
            </w:r>
            <w:r>
              <w:rPr>
                <w:spacing w:val="6"/>
              </w:rPr>
              <w:t>造、知识传授和能力培养融为一体。</w:t>
            </w:r>
          </w:p>
        </w:tc>
      </w:tr>
      <w:tr w14:paraId="237B7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44" w:type="dxa"/>
            <w:vMerge w:val="continue"/>
            <w:tcBorders>
              <w:top w:val="nil"/>
              <w:bottom w:val="nil"/>
            </w:tcBorders>
            <w:vAlign w:val="top"/>
          </w:tcPr>
          <w:p w14:paraId="712B6FC7">
            <w:pPr>
              <w:rPr>
                <w:rFonts w:ascii="Arial"/>
                <w:sz w:val="21"/>
              </w:rPr>
            </w:pPr>
          </w:p>
        </w:tc>
        <w:tc>
          <w:tcPr>
            <w:tcW w:w="1807" w:type="dxa"/>
            <w:vAlign w:val="top"/>
          </w:tcPr>
          <w:p w14:paraId="11724350">
            <w:pPr>
              <w:pStyle w:val="6"/>
              <w:spacing w:before="285" w:line="224" w:lineRule="auto"/>
              <w:ind w:left="428"/>
            </w:pPr>
            <w:r>
              <w:rPr>
                <w:spacing w:val="7"/>
              </w:rPr>
              <w:t>课程思政</w:t>
            </w:r>
          </w:p>
        </w:tc>
        <w:tc>
          <w:tcPr>
            <w:tcW w:w="6769" w:type="dxa"/>
            <w:vAlign w:val="top"/>
          </w:tcPr>
          <w:p w14:paraId="42F73D8D">
            <w:pPr>
              <w:pStyle w:val="6"/>
              <w:spacing w:before="51" w:line="234" w:lineRule="auto"/>
              <w:ind w:left="119" w:right="179" w:firstLine="7"/>
            </w:pPr>
            <w:r>
              <w:rPr>
                <w:spacing w:val="9"/>
              </w:rPr>
              <w:t>落实立德树人根本任务，深挖课程思政元素，融入课程教学全</w:t>
            </w:r>
            <w:r>
              <w:rPr>
                <w:spacing w:val="4"/>
              </w:rPr>
              <w:t>过程，实现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-24"/>
              </w:rPr>
              <w:t xml:space="preserve"> </w:t>
            </w:r>
            <w:r>
              <w:rPr>
                <w:spacing w:val="4"/>
              </w:rPr>
              <w:t>三全育人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”</w:t>
            </w:r>
            <w:r>
              <w:rPr>
                <w:spacing w:val="4"/>
              </w:rPr>
              <w:t>。</w:t>
            </w:r>
          </w:p>
        </w:tc>
      </w:tr>
      <w:tr w14:paraId="7C0051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44" w:type="dxa"/>
            <w:vMerge w:val="continue"/>
            <w:tcBorders>
              <w:top w:val="nil"/>
              <w:bottom w:val="nil"/>
            </w:tcBorders>
            <w:vAlign w:val="top"/>
          </w:tcPr>
          <w:p w14:paraId="6BADF20B">
            <w:pPr>
              <w:rPr>
                <w:rFonts w:ascii="Arial"/>
                <w:sz w:val="21"/>
              </w:rPr>
            </w:pPr>
          </w:p>
        </w:tc>
        <w:tc>
          <w:tcPr>
            <w:tcW w:w="1807" w:type="dxa"/>
            <w:vAlign w:val="top"/>
          </w:tcPr>
          <w:p w14:paraId="7550BB24">
            <w:pPr>
              <w:pStyle w:val="6"/>
              <w:spacing w:before="285" w:line="224" w:lineRule="auto"/>
              <w:ind w:left="428"/>
            </w:pPr>
            <w:r>
              <w:rPr>
                <w:spacing w:val="7"/>
              </w:rPr>
              <w:t>课程目标</w:t>
            </w:r>
          </w:p>
        </w:tc>
        <w:tc>
          <w:tcPr>
            <w:tcW w:w="6769" w:type="dxa"/>
            <w:vAlign w:val="top"/>
          </w:tcPr>
          <w:p w14:paraId="6FAB2161">
            <w:pPr>
              <w:pStyle w:val="6"/>
              <w:spacing w:before="51" w:line="234" w:lineRule="auto"/>
              <w:ind w:left="116" w:right="179" w:hanging="6"/>
            </w:pPr>
            <w:r>
              <w:rPr>
                <w:spacing w:val="10"/>
              </w:rPr>
              <w:t>基于社会、行业、企业及学生等多方需求，深</w:t>
            </w:r>
            <w:r>
              <w:rPr>
                <w:spacing w:val="9"/>
              </w:rPr>
              <w:t>化产教融合，设</w:t>
            </w:r>
            <w:r>
              <w:rPr>
                <w:spacing w:val="6"/>
              </w:rPr>
              <w:t>定具体、可测量、可实现的课程学习目标。</w:t>
            </w:r>
          </w:p>
        </w:tc>
      </w:tr>
      <w:tr w14:paraId="3E0C60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44" w:type="dxa"/>
            <w:vMerge w:val="continue"/>
            <w:tcBorders>
              <w:top w:val="nil"/>
              <w:bottom w:val="nil"/>
            </w:tcBorders>
            <w:vAlign w:val="top"/>
          </w:tcPr>
          <w:p w14:paraId="29522A41">
            <w:pPr>
              <w:rPr>
                <w:rFonts w:ascii="Arial"/>
                <w:sz w:val="21"/>
              </w:rPr>
            </w:pPr>
          </w:p>
        </w:tc>
        <w:tc>
          <w:tcPr>
            <w:tcW w:w="1807" w:type="dxa"/>
            <w:vAlign w:val="top"/>
          </w:tcPr>
          <w:p w14:paraId="659A942B">
            <w:pPr>
              <w:pStyle w:val="6"/>
              <w:spacing w:before="286" w:line="224" w:lineRule="auto"/>
              <w:ind w:left="428"/>
            </w:pPr>
            <w:r>
              <w:rPr>
                <w:spacing w:val="7"/>
              </w:rPr>
              <w:t>课程计划</w:t>
            </w:r>
          </w:p>
        </w:tc>
        <w:tc>
          <w:tcPr>
            <w:tcW w:w="6769" w:type="dxa"/>
            <w:vAlign w:val="top"/>
          </w:tcPr>
          <w:p w14:paraId="2022CD0D">
            <w:pPr>
              <w:pStyle w:val="6"/>
              <w:spacing w:before="51" w:line="234" w:lineRule="auto"/>
              <w:ind w:left="133" w:right="179" w:hanging="20"/>
            </w:pPr>
            <w:r>
              <w:rPr>
                <w:spacing w:val="9"/>
              </w:rPr>
              <w:t>课程计划时间与内容清晰，明确课程学习活动方式与课前课后</w:t>
            </w:r>
            <w:r>
              <w:rPr>
                <w:spacing w:val="-1"/>
              </w:rPr>
              <w:t>的学习任务要求。</w:t>
            </w:r>
          </w:p>
        </w:tc>
      </w:tr>
      <w:tr w14:paraId="6B5B5D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44" w:type="dxa"/>
            <w:vMerge w:val="continue"/>
            <w:tcBorders>
              <w:top w:val="nil"/>
              <w:bottom w:val="nil"/>
            </w:tcBorders>
            <w:vAlign w:val="top"/>
          </w:tcPr>
          <w:p w14:paraId="47495AF8">
            <w:pPr>
              <w:rPr>
                <w:rFonts w:ascii="Arial"/>
                <w:sz w:val="21"/>
              </w:rPr>
            </w:pPr>
          </w:p>
        </w:tc>
        <w:tc>
          <w:tcPr>
            <w:tcW w:w="1807" w:type="dxa"/>
            <w:vAlign w:val="top"/>
          </w:tcPr>
          <w:p w14:paraId="71359D33">
            <w:pPr>
              <w:pStyle w:val="6"/>
              <w:spacing w:before="283" w:line="225" w:lineRule="auto"/>
              <w:ind w:left="442"/>
            </w:pPr>
            <w:r>
              <w:rPr>
                <w:spacing w:val="4"/>
              </w:rPr>
              <w:t>学习评价</w:t>
            </w:r>
          </w:p>
        </w:tc>
        <w:tc>
          <w:tcPr>
            <w:tcW w:w="6769" w:type="dxa"/>
            <w:vAlign w:val="top"/>
          </w:tcPr>
          <w:p w14:paraId="50529470">
            <w:pPr>
              <w:pStyle w:val="6"/>
              <w:spacing w:before="53" w:line="233" w:lineRule="auto"/>
              <w:ind w:left="115" w:right="179" w:hanging="2"/>
            </w:pPr>
            <w:r>
              <w:rPr>
                <w:spacing w:val="9"/>
              </w:rPr>
              <w:t>课程学习评价内容科学、合理，采用多元评价方法评价学生认</w:t>
            </w:r>
            <w:r>
              <w:rPr>
                <w:spacing w:val="5"/>
              </w:rPr>
              <w:t>知、技能、情感等多维度发展水平。</w:t>
            </w:r>
          </w:p>
        </w:tc>
      </w:tr>
      <w:tr w14:paraId="211BF5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44" w:type="dxa"/>
            <w:vMerge w:val="continue"/>
            <w:tcBorders>
              <w:top w:val="nil"/>
            </w:tcBorders>
            <w:vAlign w:val="top"/>
          </w:tcPr>
          <w:p w14:paraId="1B2B38A4">
            <w:pPr>
              <w:rPr>
                <w:rFonts w:ascii="Arial"/>
                <w:sz w:val="21"/>
              </w:rPr>
            </w:pPr>
          </w:p>
        </w:tc>
        <w:tc>
          <w:tcPr>
            <w:tcW w:w="1807" w:type="dxa"/>
            <w:vAlign w:val="top"/>
          </w:tcPr>
          <w:p w14:paraId="438F8AFD">
            <w:pPr>
              <w:pStyle w:val="6"/>
              <w:spacing w:before="285" w:line="225" w:lineRule="auto"/>
              <w:ind w:left="428"/>
            </w:pPr>
            <w:r>
              <w:rPr>
                <w:spacing w:val="7"/>
              </w:rPr>
              <w:t>设计原则</w:t>
            </w:r>
          </w:p>
        </w:tc>
        <w:tc>
          <w:tcPr>
            <w:tcW w:w="6769" w:type="dxa"/>
            <w:vAlign w:val="top"/>
          </w:tcPr>
          <w:p w14:paraId="75527D29">
            <w:pPr>
              <w:pStyle w:val="6"/>
              <w:spacing w:before="51" w:line="234" w:lineRule="auto"/>
              <w:ind w:left="117" w:right="107" w:hanging="4"/>
            </w:pPr>
            <w:r>
              <w:rPr>
                <w:spacing w:val="7"/>
              </w:rPr>
              <w:t>课程实施大纲各模块内容编排合理，体现课程设计与开发的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-25"/>
              </w:rPr>
              <w:t xml:space="preserve"> </w:t>
            </w:r>
            <w:r>
              <w:rPr>
                <w:spacing w:val="7"/>
              </w:rPr>
              <w:t>二</w:t>
            </w:r>
            <w:r>
              <w:rPr>
                <w:spacing w:val="1"/>
              </w:rPr>
              <w:t>性一度</w:t>
            </w:r>
            <w:r>
              <w:rPr>
                <w:rFonts w:ascii="Times New Roman" w:hAnsi="Times New Roman" w:eastAsia="Times New Roman" w:cs="Times New Roman"/>
                <w:spacing w:val="1"/>
              </w:rPr>
              <w:t>”</w:t>
            </w:r>
            <w:r>
              <w:rPr>
                <w:rFonts w:ascii="Times New Roman" w:hAnsi="Times New Roman" w:eastAsia="Times New Roman" w:cs="Times New Roman"/>
                <w:spacing w:val="-36"/>
              </w:rPr>
              <w:t xml:space="preserve"> </w:t>
            </w:r>
            <w:r>
              <w:rPr>
                <w:spacing w:val="1"/>
              </w:rPr>
              <w:t>与</w:t>
            </w:r>
            <w:r>
              <w:rPr>
                <w:rFonts w:ascii="Times New Roman" w:hAnsi="Times New Roman" w:eastAsia="Times New Roman" w:cs="Times New Roman"/>
                <w:spacing w:val="1"/>
              </w:rPr>
              <w:t>“</w:t>
            </w:r>
            <w:r>
              <w:rPr>
                <w:rFonts w:ascii="Times New Roman" w:hAnsi="Times New Roman" w:eastAsia="Times New Roman" w:cs="Times New Roman"/>
                <w:spacing w:val="-32"/>
              </w:rPr>
              <w:t xml:space="preserve"> </w:t>
            </w:r>
            <w:r>
              <w:rPr>
                <w:spacing w:val="1"/>
              </w:rPr>
              <w:t>一致性建构</w:t>
            </w:r>
            <w:r>
              <w:rPr>
                <w:rFonts w:ascii="Times New Roman" w:hAnsi="Times New Roman" w:eastAsia="Times New Roman" w:cs="Times New Roman"/>
                <w:spacing w:val="1"/>
              </w:rPr>
              <w:t>”</w:t>
            </w:r>
            <w:r>
              <w:rPr>
                <w:rFonts w:ascii="Times New Roman" w:hAnsi="Times New Roman" w:eastAsia="Times New Roman" w:cs="Times New Roman"/>
                <w:spacing w:val="-43"/>
              </w:rPr>
              <w:t xml:space="preserve"> </w:t>
            </w:r>
            <w:r>
              <w:rPr>
                <w:spacing w:val="1"/>
              </w:rPr>
              <w:t>原则。</w:t>
            </w:r>
          </w:p>
        </w:tc>
      </w:tr>
      <w:tr w14:paraId="6281CF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44" w:type="dxa"/>
            <w:vMerge w:val="restart"/>
            <w:tcBorders>
              <w:bottom w:val="nil"/>
            </w:tcBorders>
            <w:vAlign w:val="top"/>
          </w:tcPr>
          <w:p w14:paraId="38AA4A7E">
            <w:pPr>
              <w:spacing w:line="306" w:lineRule="auto"/>
              <w:rPr>
                <w:rFonts w:ascii="Arial"/>
                <w:sz w:val="21"/>
              </w:rPr>
            </w:pPr>
          </w:p>
          <w:p w14:paraId="6AFE3685">
            <w:pPr>
              <w:spacing w:line="2625" w:lineRule="exact"/>
              <w:ind w:firstLine="309"/>
            </w:pPr>
            <w:r>
              <w:rPr>
                <w:position w:val="-52"/>
              </w:rPr>
              <w:drawing>
                <wp:inline distT="0" distB="0" distL="0" distR="0">
                  <wp:extent cx="139065" cy="1666240"/>
                  <wp:effectExtent l="0" t="0" r="0" b="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99" cy="1666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7" w:type="dxa"/>
            <w:vAlign w:val="top"/>
          </w:tcPr>
          <w:p w14:paraId="57D2B912">
            <w:pPr>
              <w:pStyle w:val="6"/>
              <w:spacing w:before="285" w:line="226" w:lineRule="auto"/>
              <w:ind w:left="431"/>
            </w:pPr>
            <w:r>
              <w:rPr>
                <w:spacing w:val="6"/>
              </w:rPr>
              <w:t>指导思想</w:t>
            </w:r>
          </w:p>
        </w:tc>
        <w:tc>
          <w:tcPr>
            <w:tcW w:w="6769" w:type="dxa"/>
            <w:vAlign w:val="top"/>
          </w:tcPr>
          <w:p w14:paraId="27D8BCFF">
            <w:pPr>
              <w:pStyle w:val="6"/>
              <w:spacing w:before="51" w:line="234" w:lineRule="auto"/>
              <w:ind w:left="127" w:right="179" w:hanging="3"/>
            </w:pPr>
            <w:r>
              <w:rPr>
                <w:spacing w:val="9"/>
              </w:rPr>
              <w:t>立足学科前沿、符合专业教学标准、契合学校办学特色开展教</w:t>
            </w:r>
            <w:r>
              <w:rPr>
                <w:spacing w:val="7"/>
              </w:rPr>
              <w:t>学，精准把握课程内涵建设新要求，塑造立德树人新格局。</w:t>
            </w:r>
          </w:p>
        </w:tc>
      </w:tr>
      <w:tr w14:paraId="4357CB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44" w:type="dxa"/>
            <w:vMerge w:val="continue"/>
            <w:tcBorders>
              <w:top w:val="nil"/>
              <w:bottom w:val="nil"/>
            </w:tcBorders>
            <w:vAlign w:val="top"/>
          </w:tcPr>
          <w:p w14:paraId="0987A039">
            <w:pPr>
              <w:rPr>
                <w:rFonts w:ascii="Arial"/>
                <w:sz w:val="21"/>
              </w:rPr>
            </w:pPr>
          </w:p>
        </w:tc>
        <w:tc>
          <w:tcPr>
            <w:tcW w:w="1807" w:type="dxa"/>
            <w:vAlign w:val="top"/>
          </w:tcPr>
          <w:p w14:paraId="00557536">
            <w:pPr>
              <w:pStyle w:val="6"/>
              <w:spacing w:before="286" w:line="224" w:lineRule="auto"/>
              <w:ind w:left="442"/>
            </w:pPr>
            <w:r>
              <w:rPr>
                <w:spacing w:val="4"/>
              </w:rPr>
              <w:t>学情分析</w:t>
            </w:r>
          </w:p>
        </w:tc>
        <w:tc>
          <w:tcPr>
            <w:tcW w:w="6769" w:type="dxa"/>
            <w:vAlign w:val="top"/>
          </w:tcPr>
          <w:p w14:paraId="6A6BAFC9">
            <w:pPr>
              <w:pStyle w:val="6"/>
              <w:spacing w:before="49" w:line="235" w:lineRule="auto"/>
              <w:ind w:left="120" w:right="179" w:hanging="9"/>
            </w:pPr>
            <w:r>
              <w:rPr>
                <w:spacing w:val="9"/>
              </w:rPr>
              <w:t>精准定位授课学生群体特征与个性发展需求，设计针对不同层</w:t>
            </w:r>
            <w:r>
              <w:rPr>
                <w:spacing w:val="5"/>
              </w:rPr>
              <w:t>次学生的学习活动，激发学习主动性。</w:t>
            </w:r>
          </w:p>
        </w:tc>
      </w:tr>
      <w:tr w14:paraId="46244F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44" w:type="dxa"/>
            <w:vMerge w:val="continue"/>
            <w:tcBorders>
              <w:top w:val="nil"/>
              <w:bottom w:val="nil"/>
            </w:tcBorders>
            <w:vAlign w:val="top"/>
          </w:tcPr>
          <w:p w14:paraId="62C34515">
            <w:pPr>
              <w:rPr>
                <w:rFonts w:ascii="Arial"/>
                <w:sz w:val="21"/>
              </w:rPr>
            </w:pPr>
          </w:p>
        </w:tc>
        <w:tc>
          <w:tcPr>
            <w:tcW w:w="1807" w:type="dxa"/>
            <w:vAlign w:val="top"/>
          </w:tcPr>
          <w:p w14:paraId="79AE44B6">
            <w:pPr>
              <w:pStyle w:val="6"/>
              <w:spacing w:before="286" w:line="225" w:lineRule="auto"/>
              <w:ind w:left="428"/>
            </w:pPr>
            <w:r>
              <w:rPr>
                <w:spacing w:val="7"/>
              </w:rPr>
              <w:t>教学设计</w:t>
            </w:r>
          </w:p>
        </w:tc>
        <w:tc>
          <w:tcPr>
            <w:tcW w:w="6769" w:type="dxa"/>
            <w:vAlign w:val="top"/>
          </w:tcPr>
          <w:p w14:paraId="455C59D2">
            <w:pPr>
              <w:pStyle w:val="6"/>
              <w:spacing w:before="54" w:line="233" w:lineRule="auto"/>
              <w:ind w:left="113" w:right="179" w:firstLine="3"/>
            </w:pPr>
            <w:r>
              <w:rPr>
                <w:spacing w:val="9"/>
              </w:rPr>
              <w:t>整体设计逻辑结构清晰、目标层次分明、教学策略多样、学习</w:t>
            </w:r>
            <w:r>
              <w:rPr>
                <w:spacing w:val="6"/>
              </w:rPr>
              <w:t>评价科学、教学反馈及时，强调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“</w:t>
            </w:r>
            <w:r>
              <w:rPr>
                <w:spacing w:val="6"/>
              </w:rPr>
              <w:t>教</w:t>
            </w:r>
            <w:r>
              <w:rPr>
                <w:rFonts w:ascii="Times New Roman" w:hAnsi="Times New Roman" w:eastAsia="Times New Roman" w:cs="Times New Roman"/>
                <w:spacing w:val="6"/>
              </w:rPr>
              <w:t>-</w:t>
            </w:r>
            <w:r>
              <w:rPr>
                <w:spacing w:val="6"/>
              </w:rPr>
              <w:t>学</w:t>
            </w:r>
            <w:r>
              <w:rPr>
                <w:rFonts w:ascii="Times New Roman" w:hAnsi="Times New Roman" w:eastAsia="Times New Roman" w:cs="Times New Roman"/>
                <w:spacing w:val="6"/>
              </w:rPr>
              <w:t>-</w:t>
            </w:r>
            <w:r>
              <w:rPr>
                <w:spacing w:val="6"/>
              </w:rPr>
              <w:t>做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”</w:t>
            </w:r>
            <w:r>
              <w:rPr>
                <w:rFonts w:ascii="Times New Roman" w:hAnsi="Times New Roman" w:eastAsia="Times New Roman" w:cs="Times New Roman"/>
                <w:spacing w:val="-34"/>
              </w:rPr>
              <w:t xml:space="preserve"> </w:t>
            </w:r>
            <w:r>
              <w:rPr>
                <w:spacing w:val="6"/>
              </w:rPr>
              <w:t>一</w:t>
            </w:r>
            <w:r>
              <w:rPr>
                <w:spacing w:val="5"/>
              </w:rPr>
              <w:t>体化设计。</w:t>
            </w:r>
          </w:p>
        </w:tc>
      </w:tr>
      <w:tr w14:paraId="69371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44" w:type="dxa"/>
            <w:vMerge w:val="continue"/>
            <w:tcBorders>
              <w:top w:val="nil"/>
              <w:bottom w:val="nil"/>
            </w:tcBorders>
            <w:vAlign w:val="top"/>
          </w:tcPr>
          <w:p w14:paraId="4B94A53F">
            <w:pPr>
              <w:rPr>
                <w:rFonts w:ascii="Arial"/>
                <w:sz w:val="21"/>
              </w:rPr>
            </w:pPr>
          </w:p>
        </w:tc>
        <w:tc>
          <w:tcPr>
            <w:tcW w:w="1807" w:type="dxa"/>
            <w:vAlign w:val="top"/>
          </w:tcPr>
          <w:p w14:paraId="08953D8F">
            <w:pPr>
              <w:pStyle w:val="6"/>
              <w:spacing w:before="286" w:line="225" w:lineRule="auto"/>
              <w:ind w:left="426"/>
            </w:pPr>
            <w:r>
              <w:rPr>
                <w:spacing w:val="8"/>
              </w:rPr>
              <w:t>语言表达</w:t>
            </w:r>
          </w:p>
        </w:tc>
        <w:tc>
          <w:tcPr>
            <w:tcW w:w="6769" w:type="dxa"/>
            <w:vAlign w:val="top"/>
          </w:tcPr>
          <w:p w14:paraId="657326F4">
            <w:pPr>
              <w:pStyle w:val="6"/>
              <w:spacing w:before="53" w:line="233" w:lineRule="auto"/>
              <w:ind w:left="128" w:right="179" w:hanging="17"/>
            </w:pPr>
            <w:r>
              <w:rPr>
                <w:spacing w:val="9"/>
              </w:rPr>
              <w:t>语言表达简练准确、逻辑清晰、教态自然，能通过体态语言增</w:t>
            </w:r>
            <w:r>
              <w:rPr>
                <w:spacing w:val="-5"/>
              </w:rPr>
              <w:t>强感染力。</w:t>
            </w:r>
          </w:p>
        </w:tc>
      </w:tr>
      <w:tr w14:paraId="0F222A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44" w:type="dxa"/>
            <w:vMerge w:val="continue"/>
            <w:tcBorders>
              <w:top w:val="nil"/>
            </w:tcBorders>
            <w:vAlign w:val="top"/>
          </w:tcPr>
          <w:p w14:paraId="05CA4F81">
            <w:pPr>
              <w:rPr>
                <w:rFonts w:ascii="Arial"/>
                <w:sz w:val="21"/>
              </w:rPr>
            </w:pPr>
          </w:p>
        </w:tc>
        <w:tc>
          <w:tcPr>
            <w:tcW w:w="1807" w:type="dxa"/>
            <w:vAlign w:val="top"/>
          </w:tcPr>
          <w:p w14:paraId="47AB9C57">
            <w:pPr>
              <w:pStyle w:val="6"/>
              <w:spacing w:before="285" w:line="225" w:lineRule="auto"/>
              <w:ind w:left="428"/>
            </w:pPr>
            <w:r>
              <w:rPr>
                <w:spacing w:val="7"/>
              </w:rPr>
              <w:t>教学效果</w:t>
            </w:r>
          </w:p>
        </w:tc>
        <w:tc>
          <w:tcPr>
            <w:tcW w:w="6769" w:type="dxa"/>
            <w:vAlign w:val="top"/>
          </w:tcPr>
          <w:p w14:paraId="3C2F72D5">
            <w:pPr>
              <w:pStyle w:val="6"/>
              <w:spacing w:before="54" w:line="233" w:lineRule="auto"/>
              <w:ind w:left="126" w:right="179" w:hanging="13"/>
            </w:pPr>
            <w:r>
              <w:rPr>
                <w:spacing w:val="9"/>
              </w:rPr>
              <w:t>课堂活动富有吸引力，学习氛围浓厚，学生思维活跃并深度参</w:t>
            </w:r>
            <w:r>
              <w:rPr>
                <w:spacing w:val="5"/>
              </w:rPr>
              <w:t>与课堂学习过程，教学目标达成度高。</w:t>
            </w:r>
          </w:p>
        </w:tc>
      </w:tr>
      <w:tr w14:paraId="73D37A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44" w:type="dxa"/>
            <w:vMerge w:val="restart"/>
            <w:tcBorders>
              <w:bottom w:val="nil"/>
            </w:tcBorders>
            <w:vAlign w:val="top"/>
          </w:tcPr>
          <w:p w14:paraId="1AC94185">
            <w:pPr>
              <w:spacing w:line="289" w:lineRule="auto"/>
              <w:rPr>
                <w:rFonts w:ascii="Arial"/>
                <w:sz w:val="21"/>
              </w:rPr>
            </w:pPr>
          </w:p>
          <w:p w14:paraId="700E9D01">
            <w:pPr>
              <w:spacing w:line="290" w:lineRule="auto"/>
              <w:rPr>
                <w:rFonts w:ascii="Arial"/>
                <w:sz w:val="21"/>
              </w:rPr>
            </w:pPr>
          </w:p>
          <w:p w14:paraId="4144286C">
            <w:pPr>
              <w:spacing w:line="1426" w:lineRule="exact"/>
              <w:ind w:firstLine="304"/>
            </w:pPr>
            <w:r>
              <w:rPr>
                <w:position w:val="-28"/>
              </w:rPr>
              <w:drawing>
                <wp:inline distT="0" distB="0" distL="0" distR="0">
                  <wp:extent cx="142875" cy="905510"/>
                  <wp:effectExtent l="0" t="0" r="0" b="0"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54" cy="906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7" w:type="dxa"/>
            <w:vAlign w:val="top"/>
          </w:tcPr>
          <w:p w14:paraId="512CDC41">
            <w:pPr>
              <w:pStyle w:val="6"/>
              <w:spacing w:before="286" w:line="225" w:lineRule="auto"/>
              <w:ind w:left="456"/>
            </w:pPr>
            <w:r>
              <w:t>问题导向</w:t>
            </w:r>
          </w:p>
        </w:tc>
        <w:tc>
          <w:tcPr>
            <w:tcW w:w="6769" w:type="dxa"/>
            <w:vAlign w:val="top"/>
          </w:tcPr>
          <w:p w14:paraId="191C7F59">
            <w:pPr>
              <w:pStyle w:val="6"/>
              <w:spacing w:before="51" w:line="234" w:lineRule="auto"/>
              <w:ind w:left="121" w:right="179" w:firstLine="25"/>
            </w:pPr>
            <w:r>
              <w:rPr>
                <w:spacing w:val="8"/>
              </w:rPr>
              <w:t>以培养高素质创新人才为导向，立足课堂教学真实问题、结合</w:t>
            </w:r>
            <w:r>
              <w:rPr>
                <w:spacing w:val="6"/>
              </w:rPr>
              <w:t>专业和学科特色，提出解决问题的思路与方案。</w:t>
            </w:r>
          </w:p>
        </w:tc>
      </w:tr>
      <w:tr w14:paraId="1AE05F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44" w:type="dxa"/>
            <w:vMerge w:val="continue"/>
            <w:tcBorders>
              <w:top w:val="nil"/>
              <w:bottom w:val="nil"/>
            </w:tcBorders>
            <w:vAlign w:val="top"/>
          </w:tcPr>
          <w:p w14:paraId="4808D1B1">
            <w:pPr>
              <w:rPr>
                <w:rFonts w:ascii="Arial"/>
                <w:sz w:val="21"/>
              </w:rPr>
            </w:pPr>
          </w:p>
        </w:tc>
        <w:tc>
          <w:tcPr>
            <w:tcW w:w="1807" w:type="dxa"/>
            <w:vAlign w:val="top"/>
          </w:tcPr>
          <w:p w14:paraId="7DC3E3C4">
            <w:pPr>
              <w:pStyle w:val="6"/>
              <w:spacing w:before="286" w:line="226" w:lineRule="auto"/>
              <w:ind w:left="428"/>
            </w:pPr>
            <w:r>
              <w:rPr>
                <w:spacing w:val="7"/>
              </w:rPr>
              <w:t>教学模式</w:t>
            </w:r>
          </w:p>
        </w:tc>
        <w:tc>
          <w:tcPr>
            <w:tcW w:w="6769" w:type="dxa"/>
            <w:vAlign w:val="top"/>
          </w:tcPr>
          <w:p w14:paraId="17F52962">
            <w:pPr>
              <w:pStyle w:val="6"/>
              <w:spacing w:before="54" w:line="233" w:lineRule="auto"/>
              <w:ind w:left="111" w:right="239" w:firstLine="12"/>
            </w:pPr>
            <w:r>
              <w:rPr>
                <w:spacing w:val="7"/>
              </w:rPr>
              <w:t>灵活运用项目式教学、基于问题学习、翻转教学等教学策略，</w:t>
            </w:r>
            <w:r>
              <w:rPr>
                <w:spacing w:val="6"/>
              </w:rPr>
              <w:t>提高课堂教学实效、变革传统教学模式。</w:t>
            </w:r>
          </w:p>
        </w:tc>
      </w:tr>
      <w:tr w14:paraId="51B048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44" w:type="dxa"/>
            <w:vMerge w:val="continue"/>
            <w:tcBorders>
              <w:top w:val="nil"/>
              <w:bottom w:val="nil"/>
            </w:tcBorders>
            <w:vAlign w:val="top"/>
          </w:tcPr>
          <w:p w14:paraId="02CF46A0">
            <w:pPr>
              <w:rPr>
                <w:rFonts w:ascii="Arial"/>
                <w:sz w:val="21"/>
              </w:rPr>
            </w:pPr>
          </w:p>
        </w:tc>
        <w:tc>
          <w:tcPr>
            <w:tcW w:w="1807" w:type="dxa"/>
            <w:vAlign w:val="top"/>
          </w:tcPr>
          <w:p w14:paraId="4164B6C9">
            <w:pPr>
              <w:pStyle w:val="6"/>
              <w:spacing w:before="283" w:line="226" w:lineRule="auto"/>
              <w:ind w:left="422"/>
            </w:pPr>
            <w:r>
              <w:rPr>
                <w:spacing w:val="9"/>
              </w:rPr>
              <w:t>创新特色</w:t>
            </w:r>
          </w:p>
        </w:tc>
        <w:tc>
          <w:tcPr>
            <w:tcW w:w="6769" w:type="dxa"/>
            <w:vAlign w:val="top"/>
          </w:tcPr>
          <w:p w14:paraId="689530B9">
            <w:pPr>
              <w:pStyle w:val="6"/>
              <w:spacing w:before="50" w:line="234" w:lineRule="auto"/>
              <w:ind w:left="111" w:right="228" w:firstLine="6"/>
            </w:pPr>
            <w:r>
              <w:rPr>
                <w:spacing w:val="7"/>
              </w:rPr>
              <w:t>对教学目标、内容、活动、评价等教学过程各环节分析全面、透彻，能够凸显教学创新点，具有较大的借鉴与推广价值。</w:t>
            </w:r>
          </w:p>
        </w:tc>
      </w:tr>
      <w:tr w14:paraId="020B21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844" w:type="dxa"/>
            <w:vMerge w:val="continue"/>
            <w:tcBorders>
              <w:top w:val="nil"/>
            </w:tcBorders>
            <w:vAlign w:val="top"/>
          </w:tcPr>
          <w:p w14:paraId="05BBAF45">
            <w:pPr>
              <w:rPr>
                <w:rFonts w:ascii="Arial"/>
                <w:sz w:val="21"/>
              </w:rPr>
            </w:pPr>
          </w:p>
        </w:tc>
        <w:tc>
          <w:tcPr>
            <w:tcW w:w="1807" w:type="dxa"/>
            <w:vAlign w:val="top"/>
          </w:tcPr>
          <w:p w14:paraId="1E88C323">
            <w:pPr>
              <w:pStyle w:val="6"/>
              <w:spacing w:before="288" w:line="225" w:lineRule="auto"/>
              <w:ind w:left="431"/>
            </w:pPr>
            <w:r>
              <w:rPr>
                <w:spacing w:val="6"/>
              </w:rPr>
              <w:t>技术应用</w:t>
            </w:r>
          </w:p>
        </w:tc>
        <w:tc>
          <w:tcPr>
            <w:tcW w:w="6769" w:type="dxa"/>
            <w:vAlign w:val="top"/>
          </w:tcPr>
          <w:p w14:paraId="15D9E351">
            <w:pPr>
              <w:pStyle w:val="6"/>
              <w:spacing w:before="55" w:line="234" w:lineRule="auto"/>
              <w:ind w:left="116" w:right="306" w:firstLine="17"/>
            </w:pPr>
            <w:r>
              <w:rPr>
                <w:spacing w:val="8"/>
              </w:rPr>
              <w:t>能够把握数智时代下民办高校学生学习特点，利用生成式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A1</w:t>
            </w:r>
            <w:r>
              <w:rPr>
                <w:spacing w:val="5"/>
              </w:rPr>
              <w:t>技术开展课程教学活动和学习评价。</w:t>
            </w:r>
          </w:p>
        </w:tc>
      </w:tr>
    </w:tbl>
    <w:p w14:paraId="03B34F1A"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1906" w:h="16838"/>
      <w:pgMar w:top="2658" w:right="1239" w:bottom="1301" w:left="1240" w:header="2167" w:footer="93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D9945">
    <w:pPr>
      <w:spacing w:line="233" w:lineRule="auto"/>
      <w:ind w:left="719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129D7">
    <w:pPr>
      <w:spacing w:before="83" w:line="230" w:lineRule="auto"/>
      <w:rPr>
        <w:rFonts w:ascii="Times New Roman" w:hAnsi="Times New Roman" w:eastAsia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9C612D"/>
    <w:rsid w:val="781701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3735</Words>
  <Characters>3914</Characters>
  <TotalTime>1</TotalTime>
  <ScaleCrop>false</ScaleCrop>
  <LinksUpToDate>false</LinksUpToDate>
  <CharactersWithSpaces>4088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2026-08-26T05:20:00Z</dcterms:created>
  <dc:creator>牟开亮</dc:creator>
  <cp:lastModifiedBy>小浣熊岚</cp:lastModifiedBy>
  <dcterms:modified xsi:type="dcterms:W3CDTF">2026-08-29T02:38:28Z</dcterms:modified>
  <dc:title>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2026-08-29T09:18:08Z</vt:filetime>
  </property>
  <property fmtid="{D5CDD505-2E9C-101B-9397-08002B2CF9AE}" pid="4" name="KSOTemplateDocerSaveRecord">
    <vt:lpwstr>eyJoZGlkIjoiZDM4YjY3YTY4YTc1MGMzYWRhY2FjZWM4NjA1YTZjODQiLCJ1c2VySWQiOiI0MzcyNTc0MzIifQ==</vt:lpwstr>
  </property>
  <property fmtid="{D5CDD505-2E9C-101B-9397-08002B2CF9AE}" pid="5" name="KSOProductBuildVer">
    <vt:lpwstr>2052-12.1.0.20784</vt:lpwstr>
  </property>
  <property fmtid="{D5CDD505-2E9C-101B-9397-08002B2CF9AE}" pid="6" name="ICV">
    <vt:lpwstr>E00989981F4E4F9FA15A3FD4791CD7F3_13</vt:lpwstr>
  </property>
</Properties>
</file>