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exact"/>
        <w:rPr>
          <w:rFonts w:ascii="黑体" w:hAnsi="黑体" w:eastAsia="黑体" w:cs="黑体"/>
          <w:b/>
          <w:bCs/>
          <w:szCs w:val="24"/>
        </w:rPr>
      </w:pPr>
      <w:r>
        <w:rPr>
          <w:rFonts w:hint="eastAsia" w:ascii="黑体" w:hAnsi="黑体" w:eastAsia="黑体" w:cs="黑体"/>
          <w:b/>
          <w:bCs/>
          <w:szCs w:val="24"/>
        </w:rPr>
        <w:t>附3 常州大学</w:t>
      </w:r>
      <w:r>
        <w:rPr>
          <w:rFonts w:hint="eastAsia" w:ascii="黑体" w:hAnsi="黑体" w:eastAsia="黑体" w:cs="黑体"/>
          <w:b/>
          <w:bCs/>
          <w:szCs w:val="24"/>
          <w:lang w:val="en-US" w:eastAsia="zh-CN"/>
        </w:rPr>
        <w:t>怀德学院</w:t>
      </w:r>
      <w:r>
        <w:rPr>
          <w:rFonts w:hint="eastAsia" w:ascii="黑体" w:hAnsi="黑体" w:eastAsia="黑体" w:cs="黑体"/>
          <w:b/>
          <w:bCs/>
          <w:szCs w:val="24"/>
        </w:rPr>
        <w:t>课程设计教学大纲编制推荐模板</w:t>
      </w:r>
    </w:p>
    <w:p>
      <w:pPr>
        <w:spacing w:before="156" w:beforeLines="50" w:after="156" w:afterLines="50" w:line="400" w:lineRule="exact"/>
        <w:jc w:val="center"/>
        <w:rPr>
          <w:rFonts w:eastAsia="黑体"/>
          <w:bCs/>
          <w:color w:val="000000"/>
          <w:sz w:val="30"/>
        </w:rPr>
      </w:pPr>
      <w:r>
        <w:rPr>
          <w:rFonts w:hint="eastAsia" w:eastAsia="黑体"/>
          <w:bCs/>
          <w:color w:val="000000"/>
          <w:sz w:val="30"/>
        </w:rPr>
        <w:t>《****课程设计》教学大纲</w:t>
      </w:r>
    </w:p>
    <w:p>
      <w:pPr>
        <w:pStyle w:val="2"/>
        <w:snapToGrid w:val="0"/>
        <w:spacing w:before="156" w:beforeLines="50" w:after="156" w:afterLines="50"/>
        <w:rPr>
          <w:rFonts w:hint="default"/>
        </w:rPr>
      </w:pPr>
      <w:r>
        <w:rPr>
          <w:bCs/>
          <w:szCs w:val="24"/>
        </w:rPr>
        <w:t>一、课程基本信息</w:t>
      </w:r>
    </w:p>
    <w:tbl>
      <w:tblPr>
        <w:tblStyle w:val="11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275"/>
        <w:gridCol w:w="64"/>
        <w:gridCol w:w="1133"/>
        <w:gridCol w:w="207"/>
        <w:gridCol w:w="1339"/>
        <w:gridCol w:w="92"/>
        <w:gridCol w:w="1179"/>
        <w:gridCol w:w="69"/>
        <w:gridCol w:w="134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课程名称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中文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bookmarkEnd w:id="0"/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英文</w:t>
            </w:r>
          </w:p>
        </w:tc>
        <w:tc>
          <w:tcPr>
            <w:tcW w:w="5423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开课学院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撰写时间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课程类别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课程学分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总学时数</w:t>
            </w: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先修课程代码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9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  <w:t>适用专业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（全称）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选用教材</w:t>
            </w:r>
          </w:p>
        </w:tc>
        <w:tc>
          <w:tcPr>
            <w:tcW w:w="6698" w:type="dxa"/>
            <w:gridSpan w:val="9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（列出作者、书名、版次、出版社、出版年月）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撰 写 人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审 定 人</w:t>
            </w:r>
          </w:p>
        </w:tc>
        <w:tc>
          <w:tcPr>
            <w:tcW w:w="1339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jc w:val="center"/>
              <w:rPr>
                <w:rFonts w:eastAsia="宋体"/>
                <w:b/>
                <w:bCs/>
                <w:sz w:val="18"/>
                <w:szCs w:val="18"/>
              </w:rPr>
            </w:pPr>
            <w:r>
              <w:rPr>
                <w:rFonts w:eastAsia="宋体"/>
                <w:b/>
                <w:bCs/>
                <w:sz w:val="18"/>
                <w:szCs w:val="18"/>
              </w:rPr>
              <w:t>批 准 人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eastAsia="宋体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240" w:lineRule="auto"/>
        <w:rPr>
          <w:rFonts w:eastAsia="宋体"/>
          <w:sz w:val="21"/>
          <w:szCs w:val="21"/>
        </w:rPr>
      </w:pPr>
      <w:r>
        <w:rPr>
          <w:rFonts w:eastAsia="黑体"/>
          <w:bCs/>
          <w:color w:val="000000"/>
          <w:kern w:val="0"/>
          <w:szCs w:val="24"/>
        </w:rPr>
        <w:t>二、课程目标</w:t>
      </w:r>
      <w:r>
        <w:rPr>
          <w:rFonts w:eastAsia="宋体"/>
          <w:sz w:val="21"/>
          <w:szCs w:val="21"/>
        </w:rPr>
        <w:t>（每门课程都必须有课程思政目标）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课程目标1：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课程目标2：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eastAsia="宋体"/>
          <w:sz w:val="21"/>
          <w:szCs w:val="21"/>
        </w:rPr>
        <w:t>课程目标3：</w:t>
      </w:r>
    </w:p>
    <w:p>
      <w:pPr>
        <w:adjustRightInd w:val="0"/>
        <w:snapToGrid w:val="0"/>
        <w:spacing w:line="400" w:lineRule="exact"/>
        <w:ind w:firstLine="420" w:firstLineChars="200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b/>
          <w:bCs/>
          <w:color w:val="FF0000"/>
          <w:sz w:val="21"/>
          <w:szCs w:val="21"/>
        </w:rPr>
      </w:pPr>
      <w:r>
        <w:rPr>
          <w:rFonts w:hint="eastAsia" w:eastAsia="宋体"/>
          <w:b/>
          <w:bCs/>
          <w:color w:val="FF0000"/>
          <w:sz w:val="21"/>
          <w:szCs w:val="21"/>
        </w:rPr>
        <w:t>撰写说明</w:t>
      </w:r>
      <w:r>
        <w:rPr>
          <w:rFonts w:eastAsia="宋体"/>
          <w:b/>
          <w:bCs/>
          <w:color w:val="FF0000"/>
          <w:sz w:val="21"/>
          <w:szCs w:val="21"/>
        </w:rPr>
        <w:t>：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eastAsia="宋体"/>
          <w:color w:val="FF0000"/>
          <w:sz w:val="21"/>
          <w:szCs w:val="21"/>
        </w:rPr>
        <w:t>1.根据课程特点和</w:t>
      </w:r>
      <w:r>
        <w:rPr>
          <w:rFonts w:hint="eastAsia" w:eastAsia="宋体"/>
          <w:color w:val="FF0000"/>
          <w:sz w:val="21"/>
          <w:szCs w:val="21"/>
        </w:rPr>
        <w:t>课程</w:t>
      </w:r>
      <w:r>
        <w:rPr>
          <w:rFonts w:eastAsia="宋体"/>
          <w:color w:val="FF0000"/>
          <w:sz w:val="21"/>
          <w:szCs w:val="21"/>
        </w:rPr>
        <w:t>对毕业要求的贡献，确定课程目标，每门课程都必须有课程思政目标</w:t>
      </w:r>
      <w:r>
        <w:rPr>
          <w:rFonts w:hint="eastAsia" w:eastAsia="宋体"/>
          <w:color w:val="FF0000"/>
          <w:sz w:val="21"/>
          <w:szCs w:val="21"/>
        </w:rPr>
        <w:t>（单列）；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eastAsia="宋体"/>
          <w:color w:val="FF0000"/>
          <w:sz w:val="21"/>
          <w:szCs w:val="24"/>
          <w:lang w:bidi="ar"/>
        </w:rPr>
        <w:t>2.</w:t>
      </w:r>
      <w:r>
        <w:rPr>
          <w:rFonts w:hint="eastAsia" w:eastAsia="宋体"/>
          <w:color w:val="FF0000"/>
          <w:sz w:val="21"/>
          <w:szCs w:val="24"/>
          <w:lang w:bidi="ar"/>
        </w:rPr>
        <w:t>课程思政目标（德育目标）建议结合专业育人目标，</w:t>
      </w:r>
      <w:r>
        <w:rPr>
          <w:rFonts w:eastAsia="宋体"/>
          <w:color w:val="FF0000"/>
          <w:sz w:val="21"/>
          <w:szCs w:val="24"/>
          <w:lang w:bidi="ar"/>
        </w:rPr>
        <w:t>参照教育部《高等学校课程思政建设指导纲要》</w:t>
      </w:r>
      <w:r>
        <w:rPr>
          <w:rFonts w:hint="eastAsia" w:eastAsia="宋体"/>
          <w:color w:val="FF0000"/>
          <w:sz w:val="21"/>
          <w:szCs w:val="24"/>
          <w:lang w:bidi="ar"/>
        </w:rPr>
        <w:t>撰写；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4"/>
          <w:lang w:bidi="ar"/>
        </w:rPr>
      </w:pPr>
      <w:r>
        <w:rPr>
          <w:rFonts w:hint="eastAsia" w:eastAsia="宋体"/>
          <w:color w:val="FF0000"/>
          <w:sz w:val="21"/>
          <w:szCs w:val="24"/>
          <w:lang w:bidi="ar"/>
        </w:rPr>
        <w:t>3</w:t>
      </w:r>
      <w:r>
        <w:rPr>
          <w:rFonts w:eastAsia="宋体"/>
          <w:color w:val="FF0000"/>
          <w:sz w:val="21"/>
          <w:szCs w:val="24"/>
          <w:lang w:bidi="ar"/>
        </w:rPr>
        <w:t>.课程目标的描述应</w:t>
      </w:r>
      <w:r>
        <w:rPr>
          <w:rFonts w:hint="eastAsia" w:eastAsia="宋体"/>
          <w:color w:val="FF0000"/>
          <w:sz w:val="21"/>
          <w:szCs w:val="24"/>
          <w:lang w:bidi="ar"/>
        </w:rPr>
        <w:t>符合设计类实践教学环节课程对</w:t>
      </w:r>
      <w:r>
        <w:rPr>
          <w:rFonts w:eastAsia="宋体"/>
          <w:color w:val="FF0000"/>
          <w:sz w:val="21"/>
          <w:szCs w:val="24"/>
          <w:lang w:bidi="ar"/>
        </w:rPr>
        <w:t>学生</w:t>
      </w:r>
      <w:r>
        <w:rPr>
          <w:rFonts w:hint="eastAsia" w:eastAsia="宋体"/>
          <w:color w:val="FF0000"/>
          <w:sz w:val="21"/>
          <w:szCs w:val="24"/>
          <w:lang w:bidi="ar"/>
        </w:rPr>
        <w:t>的</w:t>
      </w:r>
      <w:r>
        <w:rPr>
          <w:rFonts w:eastAsia="宋体"/>
          <w:color w:val="FF0000"/>
          <w:sz w:val="21"/>
          <w:szCs w:val="24"/>
          <w:lang w:bidi="ar"/>
        </w:rPr>
        <w:t>能力</w:t>
      </w:r>
      <w:r>
        <w:rPr>
          <w:rFonts w:hint="eastAsia" w:eastAsia="宋体"/>
          <w:color w:val="FF0000"/>
          <w:sz w:val="21"/>
          <w:szCs w:val="24"/>
          <w:lang w:bidi="ar"/>
        </w:rPr>
        <w:t>培养</w:t>
      </w:r>
      <w:r>
        <w:rPr>
          <w:rFonts w:eastAsia="宋体"/>
          <w:color w:val="FF0000"/>
          <w:sz w:val="21"/>
          <w:szCs w:val="24"/>
          <w:lang w:bidi="ar"/>
        </w:rPr>
        <w:t>要求。可表述为</w:t>
      </w:r>
      <w:r>
        <w:rPr>
          <w:rFonts w:hint="eastAsia" w:eastAsia="宋体"/>
          <w:color w:val="FF0000"/>
          <w:sz w:val="21"/>
          <w:szCs w:val="24"/>
          <w:lang w:bidi="ar"/>
        </w:rPr>
        <w:t>：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hint="eastAsia" w:eastAsia="宋体"/>
          <w:color w:val="FF0000"/>
          <w:sz w:val="21"/>
          <w:szCs w:val="21"/>
        </w:rPr>
        <w:t>“能够针对</w:t>
      </w:r>
      <w:r>
        <w:rPr>
          <w:rFonts w:eastAsia="黑体" w:cs="黑体" w:asciiTheme="minorHAnsi" w:hAnsiTheme="minorHAnsi"/>
          <w:color w:val="FF0000"/>
          <w:szCs w:val="24"/>
        </w:rPr>
        <w:t>×××</w:t>
      </w:r>
      <w:r>
        <w:rPr>
          <w:rFonts w:hint="eastAsia" w:eastAsia="宋体"/>
          <w:color w:val="FF0000"/>
          <w:sz w:val="21"/>
          <w:szCs w:val="21"/>
        </w:rPr>
        <w:t>领域复杂工程问题，综合考虑社会、健康、安全等因素，完成</w:t>
      </w:r>
      <w:r>
        <w:rPr>
          <w:rFonts w:eastAsia="黑体" w:cs="黑体" w:asciiTheme="minorHAnsi" w:hAnsiTheme="minorHAnsi"/>
          <w:color w:val="FF0000"/>
          <w:szCs w:val="24"/>
        </w:rPr>
        <w:t>×××</w:t>
      </w:r>
      <w:r>
        <w:rPr>
          <w:rFonts w:hint="eastAsia" w:eastAsia="宋体"/>
          <w:color w:val="FF0000"/>
          <w:sz w:val="21"/>
          <w:szCs w:val="21"/>
        </w:rPr>
        <w:t>的设计，在设计中体现创新意识。”</w:t>
      </w:r>
    </w:p>
    <w:p>
      <w:pPr>
        <w:adjustRightInd w:val="0"/>
        <w:snapToGrid w:val="0"/>
        <w:spacing w:line="400" w:lineRule="exact"/>
        <w:rPr>
          <w:rFonts w:eastAsia="宋体"/>
          <w:color w:val="FF0000"/>
          <w:sz w:val="21"/>
          <w:szCs w:val="21"/>
        </w:rPr>
      </w:pPr>
      <w:r>
        <w:rPr>
          <w:rFonts w:hint="eastAsia" w:eastAsia="宋体"/>
          <w:color w:val="FF0000"/>
          <w:sz w:val="21"/>
          <w:szCs w:val="21"/>
        </w:rPr>
        <w:t>“能够通过撰写设计说明书、绘制工程图纸以及口头报告，清晰地表达</w:t>
      </w:r>
      <w:r>
        <w:rPr>
          <w:rFonts w:eastAsia="黑体" w:cs="黑体" w:asciiTheme="minorHAnsi" w:hAnsiTheme="minorHAnsi"/>
          <w:color w:val="FF0000"/>
          <w:szCs w:val="24"/>
        </w:rPr>
        <w:t>×××</w:t>
      </w:r>
      <w:r>
        <w:rPr>
          <w:rFonts w:hint="eastAsia" w:eastAsia="宋体"/>
          <w:color w:val="FF0000"/>
          <w:sz w:val="21"/>
          <w:szCs w:val="24"/>
          <w:lang w:bidi="ar"/>
        </w:rPr>
        <w:t>领域复杂工</w:t>
      </w:r>
      <w:r>
        <w:rPr>
          <w:rFonts w:hint="eastAsia" w:eastAsia="宋体"/>
          <w:color w:val="FF0000"/>
          <w:sz w:val="21"/>
          <w:szCs w:val="21"/>
        </w:rPr>
        <w:t>程问题的解决方案、过程和结果，并能与业界同行及社会公众进行有效沟通和交流。”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eastAsia="黑体"/>
          <w:b/>
          <w:bCs/>
          <w:color w:val="FF0000"/>
          <w:szCs w:val="21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三、课程目标与毕业要求观测点的对应关系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562"/>
        <w:gridCol w:w="3962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336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6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</w:t>
            </w:r>
          </w:p>
        </w:tc>
        <w:tc>
          <w:tcPr>
            <w:tcW w:w="396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毕业要求指标点</w:t>
            </w:r>
          </w:p>
        </w:tc>
        <w:tc>
          <w:tcPr>
            <w:tcW w:w="166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336" w:type="dxa"/>
            <w:vAlign w:val="center"/>
          </w:tcPr>
          <w:p>
            <w:pPr>
              <w:spacing w:line="300" w:lineRule="auto"/>
              <w:jc w:val="center"/>
              <w:rPr>
                <w:rFonts w:ascii="Calibri" w:hAnsi="Calibri" w:cs="Calibri"/>
                <w:color w:val="FF0000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1562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/>
                <w:color w:val="FF0000"/>
                <w:sz w:val="21"/>
                <w:szCs w:val="21"/>
              </w:rPr>
              <w:t>8职业规范</w:t>
            </w:r>
          </w:p>
        </w:tc>
        <w:tc>
          <w:tcPr>
            <w:tcW w:w="3962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eastAsia="宋体"/>
                <w:color w:val="FF0000"/>
                <w:sz w:val="21"/>
                <w:szCs w:val="21"/>
              </w:rPr>
              <w:t>8-2 理解诚实公正、诚信守则的工程职业道德和规范，并能在工程实践中自觉遵守。</w:t>
            </w:r>
          </w:p>
        </w:tc>
        <w:tc>
          <w:tcPr>
            <w:tcW w:w="1662" w:type="dxa"/>
            <w:vAlign w:val="center"/>
          </w:tcPr>
          <w:p>
            <w:pPr>
              <w:spacing w:line="300" w:lineRule="auto"/>
              <w:jc w:val="center"/>
              <w:rPr>
                <w:color w:val="FF0000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课程目标1</w:t>
            </w:r>
          </w:p>
          <w:p>
            <w:pPr>
              <w:spacing w:line="300" w:lineRule="auto"/>
              <w:jc w:val="center"/>
              <w:rPr>
                <w:rFonts w:ascii="Calibri" w:hAnsi="Calibri" w:cs="Calibri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33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156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3 设计/开发解决方案</w:t>
            </w:r>
          </w:p>
        </w:tc>
        <w:tc>
          <w:tcPr>
            <w:tcW w:w="396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3-3能够针对</w:t>
            </w:r>
            <w:r>
              <w:rPr>
                <w:rFonts w:eastAsia="黑体" w:cs="黑体" w:asciiTheme="minorHAnsi" w:hAnsiTheme="minorHAnsi"/>
                <w:color w:val="FF0000"/>
                <w:szCs w:val="24"/>
              </w:rPr>
              <w:t>×××</w:t>
            </w:r>
            <w:r>
              <w:rPr>
                <w:rFonts w:hint="eastAsia" w:eastAsia="宋体"/>
                <w:color w:val="FF0000"/>
                <w:sz w:val="21"/>
                <w:szCs w:val="21"/>
              </w:rPr>
              <w:t>领域复杂工程问题，综合考虑社会、健康、安全、法律、文化以及环境等因素，进行工艺设计、装备设计和控制系统设计，体现创新意识</w:t>
            </w:r>
          </w:p>
        </w:tc>
        <w:tc>
          <w:tcPr>
            <w:tcW w:w="1662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课程目标2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3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156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396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166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</w:tr>
    </w:tbl>
    <w:p>
      <w:pPr>
        <w:pStyle w:val="5"/>
        <w:adjustRightInd w:val="0"/>
        <w:snapToGrid w:val="0"/>
        <w:spacing w:line="400" w:lineRule="exact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撰写说明：</w:t>
      </w:r>
    </w:p>
    <w:p>
      <w:pPr>
        <w:pStyle w:val="5"/>
        <w:adjustRightInd w:val="0"/>
        <w:snapToGrid w:val="0"/>
        <w:spacing w:line="400" w:lineRule="exac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1</w:t>
      </w:r>
      <w:r>
        <w:rPr>
          <w:color w:val="FF0000"/>
          <w:szCs w:val="21"/>
        </w:rPr>
        <w:t>.</w:t>
      </w:r>
      <w:r>
        <w:rPr>
          <w:rFonts w:hint="eastAsia"/>
          <w:color w:val="FF0000"/>
          <w:szCs w:val="21"/>
        </w:rPr>
        <w:t>课程目标与毕业要求观测点清晰对接；</w:t>
      </w:r>
    </w:p>
    <w:p>
      <w:pPr>
        <w:pStyle w:val="5"/>
        <w:adjustRightInd w:val="0"/>
        <w:snapToGrid w:val="0"/>
        <w:spacing w:line="400" w:lineRule="exact"/>
        <w:rPr>
          <w:rFonts w:ascii="黑体" w:hAnsi="黑体" w:eastAsia="黑体"/>
          <w:bCs/>
          <w:color w:val="FF0000"/>
          <w:kern w:val="0"/>
          <w:sz w:val="24"/>
        </w:rPr>
      </w:pPr>
      <w:r>
        <w:rPr>
          <w:color w:val="FF0000"/>
          <w:szCs w:val="21"/>
        </w:rPr>
        <w:t>2</w:t>
      </w:r>
      <w:r>
        <w:rPr>
          <w:rFonts w:hint="eastAsia"/>
          <w:color w:val="FF0000"/>
          <w:szCs w:val="21"/>
        </w:rPr>
        <w:t>.</w:t>
      </w:r>
      <w:r>
        <w:rPr>
          <w:rFonts w:hint="eastAsia"/>
          <w:color w:val="FF0000"/>
        </w:rPr>
        <w:t>1个毕业要求观测点可以由多个课程目标支撑，但1个课程目标不能支撑多个毕业要求观测点。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四、课程设计的教学内容与基本要求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1．设计题目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2．设计内容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3．设计要求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……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4．需要提交的设计作品</w:t>
      </w:r>
    </w:p>
    <w:p>
      <w:pPr>
        <w:adjustRightInd w:val="0"/>
        <w:snapToGrid w:val="0"/>
        <w:spacing w:line="400" w:lineRule="exact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</w:rPr>
        <w:t>……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五、进度安排</w:t>
      </w:r>
    </w:p>
    <w:tbl>
      <w:tblPr>
        <w:tblStyle w:val="11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5067"/>
        <w:gridCol w:w="1260"/>
        <w:gridCol w:w="12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5067" w:type="dxa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设计内容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学时</w:t>
            </w:r>
          </w:p>
        </w:tc>
        <w:tc>
          <w:tcPr>
            <w:tcW w:w="1288" w:type="dxa"/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5067" w:type="dxa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设计任务布置、说明，要求的提出，给出工艺参数，首次集中辅导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</w:rPr>
              <w:t>0.5天</w:t>
            </w:r>
          </w:p>
        </w:tc>
        <w:tc>
          <w:tcPr>
            <w:tcW w:w="128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5067" w:type="dxa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5067" w:type="dxa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82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506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128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</w:tr>
    </w:tbl>
    <w:p>
      <w:pPr>
        <w:adjustRightInd w:val="0"/>
        <w:snapToGrid w:val="0"/>
        <w:spacing w:before="156" w:beforeLines="50" w:after="156" w:afterLines="50" w:line="240" w:lineRule="auto"/>
        <w:rPr>
          <w:rFonts w:eastAsia="宋体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六、课程设计成绩的考核与评定办法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2153"/>
        <w:gridCol w:w="4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考核形式及权重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考核评价</w:t>
            </w:r>
            <w:r>
              <w:rPr>
                <w:rFonts w:ascii="宋体" w:hAnsi="宋体" w:eastAsia="宋体" w:cs="宋体"/>
                <w:b/>
                <w:bCs/>
                <w:sz w:val="21"/>
                <w:szCs w:val="21"/>
              </w:rPr>
              <w:t>环节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宋体" w:hAnsi="宋体"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考核评价环节对应的课程目标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7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平时成绩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工作态度、设计进度等平时表现。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不参与课程目标达成情况评价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7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团队协作情况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课程目标4（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7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74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课程设计资料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图纸</w:t>
            </w:r>
          </w:p>
        </w:tc>
        <w:tc>
          <w:tcPr>
            <w:tcW w:w="46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课程目标3（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设计说明书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课程目标1（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分）、课程目标2（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分）、</w:t>
            </w:r>
            <w:r>
              <w:rPr>
                <w:rFonts w:hint="eastAsia" w:eastAsia="宋体"/>
                <w:sz w:val="21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答辩</w:t>
            </w:r>
          </w:p>
          <w:p>
            <w:pPr>
              <w:spacing w:line="30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（占总成绩 %）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表述及回答问题情况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课程目标3（ </w:t>
            </w:r>
            <w:r>
              <w:rPr>
                <w:rFonts w:hint="eastAsia" w:eastAsia="宋体"/>
                <w:b/>
                <w:bCs/>
                <w:sz w:val="21"/>
                <w:szCs w:val="21"/>
              </w:rPr>
              <w:t>*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4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</w:tr>
    </w:tbl>
    <w:p>
      <w:pPr>
        <w:pStyle w:val="2"/>
        <w:rPr>
          <w:rFonts w:hint="default" w:eastAsia="宋体"/>
          <w:b/>
          <w:bCs/>
          <w:color w:val="FF0000"/>
          <w:sz w:val="21"/>
          <w:szCs w:val="21"/>
        </w:rPr>
      </w:pPr>
      <w:r>
        <w:rPr>
          <w:rFonts w:eastAsia="宋体"/>
          <w:b/>
          <w:bCs/>
          <w:color w:val="FF0000"/>
          <w:sz w:val="21"/>
          <w:szCs w:val="21"/>
        </w:rPr>
        <w:t>撰写说明：</w:t>
      </w:r>
    </w:p>
    <w:p>
      <w:pPr>
        <w:numPr>
          <w:ilvl w:val="0"/>
          <w:numId w:val="1"/>
        </w:numPr>
        <w:spacing w:line="300" w:lineRule="auto"/>
        <w:rPr>
          <w:rFonts w:eastAsia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考核形式可以结合课程实际情况确定，可以包括平时成绩、设计说明书、图纸、答辩等。</w:t>
      </w:r>
    </w:p>
    <w:p>
      <w:pPr>
        <w:numPr>
          <w:ilvl w:val="0"/>
          <w:numId w:val="1"/>
        </w:numPr>
        <w:spacing w:line="300" w:lineRule="auto"/>
        <w:rPr>
          <w:rFonts w:eastAsia="宋体"/>
          <w:color w:val="FF0000"/>
          <w:sz w:val="21"/>
          <w:szCs w:val="21"/>
        </w:rPr>
      </w:pPr>
      <w:r>
        <w:rPr>
          <w:rFonts w:hint="eastAsia" w:eastAsia="宋体"/>
          <w:color w:val="FF0000"/>
          <w:sz w:val="21"/>
          <w:szCs w:val="21"/>
        </w:rPr>
        <w:t>考核评价环节结合实际情况及其拟评价的课程目标确定；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七、主要环节考核评价标准</w:t>
      </w:r>
      <w:r>
        <w:rPr>
          <w:rFonts w:hint="eastAsia" w:ascii="黑体" w:hAnsi="黑体" w:eastAsia="黑体"/>
          <w:bCs/>
          <w:color w:val="FF0000"/>
          <w:kern w:val="0"/>
          <w:szCs w:val="24"/>
        </w:rPr>
        <w:t>（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可参照理论课程相应部分的表格</w:t>
      </w:r>
      <w:r>
        <w:rPr>
          <w:rFonts w:hint="eastAsia" w:ascii="黑体" w:hAnsi="黑体" w:eastAsia="黑体"/>
          <w:bCs/>
          <w:color w:val="FF0000"/>
          <w:kern w:val="0"/>
          <w:szCs w:val="24"/>
        </w:rPr>
        <w:t>）</w:t>
      </w:r>
    </w:p>
    <w:p>
      <w:pPr>
        <w:spacing w:line="300" w:lineRule="auto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1.平时成绩考核与评价标准</w:t>
      </w:r>
    </w:p>
    <w:p>
      <w:pPr>
        <w:spacing w:line="300" w:lineRule="auto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2.课程设计资料考核与评价标准</w:t>
      </w:r>
    </w:p>
    <w:p>
      <w:pPr>
        <w:spacing w:line="300" w:lineRule="auto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3.答辩考核与评价标准 </w:t>
      </w:r>
    </w:p>
    <w:p>
      <w:pPr>
        <w:spacing w:line="300" w:lineRule="auto"/>
        <w:rPr>
          <w:rFonts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某考核形式（环节）支撑多个课程目标时，应按其支撑的课程目标分别给出考核评价标准。</w:t>
      </w:r>
    </w:p>
    <w:p>
      <w:pPr>
        <w:pStyle w:val="21"/>
        <w:spacing w:before="156" w:beforeLines="50" w:after="156" w:afterLines="50" w:line="240" w:lineRule="auto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黑体" w:hAnsi="黑体" w:eastAsia="黑体"/>
          <w:bCs/>
          <w:kern w:val="0"/>
          <w:szCs w:val="24"/>
        </w:rPr>
        <w:t>八、课</w:t>
      </w:r>
      <w:r>
        <w:rPr>
          <w:rFonts w:hint="eastAsia" w:ascii="黑体" w:hAnsi="黑体" w:eastAsia="黑体"/>
          <w:bCs/>
          <w:color w:val="000000"/>
          <w:kern w:val="0"/>
          <w:szCs w:val="24"/>
        </w:rPr>
        <w:t>程思政元素融入设计</w:t>
      </w:r>
    </w:p>
    <w:tbl>
      <w:tblPr>
        <w:tblStyle w:val="11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4571"/>
        <w:gridCol w:w="1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教学环节或内容</w:t>
            </w: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课程思政元素融入设计</w:t>
            </w: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color w:val="FF0000"/>
                <w:kern w:val="0"/>
                <w:sz w:val="21"/>
                <w:szCs w:val="21"/>
              </w:rPr>
              <w:t>德育</w:t>
            </w:r>
            <w:r>
              <w:rPr>
                <w:rFonts w:eastAsia="宋体"/>
                <w:color w:val="FF0000"/>
                <w:kern w:val="0"/>
                <w:sz w:val="21"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1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00" w:lineRule="auto"/>
              <w:rPr>
                <w:rFonts w:ascii="宋体" w:hAnsi="宋体" w:eastAsia="宋体" w:cs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1217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240" w:lineRule="auto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217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eastAsia="宋体"/>
                <w:color w:val="FF0000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26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  <w:tc>
          <w:tcPr>
            <w:tcW w:w="10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……</w:t>
            </w:r>
          </w:p>
        </w:tc>
      </w:tr>
    </w:tbl>
    <w:p>
      <w:pPr>
        <w:pStyle w:val="5"/>
        <w:adjustRightInd w:val="0"/>
        <w:snapToGrid w:val="0"/>
        <w:spacing w:before="156" w:beforeLines="50" w:line="300" w:lineRule="auto"/>
        <w:rPr>
          <w:rFonts w:ascii="宋体" w:hAnsi="宋体" w:cs="宋体"/>
          <w:color w:val="FF0000"/>
          <w:kern w:val="0"/>
          <w:szCs w:val="21"/>
        </w:rPr>
      </w:pPr>
      <w:r>
        <w:rPr>
          <w:rFonts w:hint="eastAsia" w:ascii="宋体" w:hAnsi="宋体" w:cs="宋体"/>
          <w:b/>
          <w:color w:val="FF0000"/>
          <w:kern w:val="0"/>
          <w:szCs w:val="21"/>
        </w:rPr>
        <w:t>撰写说明：</w:t>
      </w:r>
      <w:r>
        <w:rPr>
          <w:rFonts w:hint="eastAsia" w:ascii="宋体" w:hAnsi="宋体" w:cs="宋体"/>
          <w:color w:val="FF0000"/>
          <w:kern w:val="0"/>
          <w:szCs w:val="21"/>
        </w:rPr>
        <w:t>需挖掘课程设计课程中蕴含的思政元素，至少在2个课程设计教学环节或内容中融入课程思政元素。</w:t>
      </w:r>
    </w:p>
    <w:p>
      <w:pPr>
        <w:adjustRightInd w:val="0"/>
        <w:snapToGrid w:val="0"/>
        <w:spacing w:before="156" w:beforeLines="50" w:after="156" w:afterLines="50" w:line="240" w:lineRule="auto"/>
        <w:rPr>
          <w:rFonts w:ascii="黑体" w:hAnsi="黑体" w:eastAsia="黑体"/>
          <w:bCs/>
          <w:color w:val="000000"/>
          <w:kern w:val="0"/>
          <w:szCs w:val="24"/>
        </w:rPr>
      </w:pPr>
      <w:r>
        <w:rPr>
          <w:rFonts w:hint="eastAsia" w:ascii="黑体" w:hAnsi="黑体" w:eastAsia="黑体"/>
          <w:bCs/>
          <w:color w:val="000000"/>
          <w:kern w:val="0"/>
          <w:szCs w:val="24"/>
        </w:rPr>
        <w:t>九、参考文献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撰写说明：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要列出作者、书名、出版社、出版年月。</w:t>
      </w:r>
    </w:p>
    <w:p>
      <w:pPr>
        <w:pStyle w:val="21"/>
        <w:spacing w:line="400" w:lineRule="exact"/>
        <w:ind w:firstLine="0" w:firstLineChars="0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[1]同济大学数学系．高等数学（第七版）[M]．北京：高等教育出版社，2014.7</w:t>
      </w:r>
    </w:p>
    <w:p>
      <w:pPr>
        <w:pStyle w:val="18"/>
        <w:ind w:firstLine="48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C65C83"/>
    <w:multiLevelType w:val="singleLevel"/>
    <w:tmpl w:val="19C65C8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A5"/>
    <w:rsid w:val="002A68D4"/>
    <w:rsid w:val="003222A8"/>
    <w:rsid w:val="00445106"/>
    <w:rsid w:val="00454E54"/>
    <w:rsid w:val="005116A5"/>
    <w:rsid w:val="00550421"/>
    <w:rsid w:val="005A48E2"/>
    <w:rsid w:val="005D77D9"/>
    <w:rsid w:val="007035DE"/>
    <w:rsid w:val="00720714"/>
    <w:rsid w:val="008C07D5"/>
    <w:rsid w:val="00934257"/>
    <w:rsid w:val="00AA0132"/>
    <w:rsid w:val="00BA6184"/>
    <w:rsid w:val="00BB6578"/>
    <w:rsid w:val="00DD003A"/>
    <w:rsid w:val="00DE3A7C"/>
    <w:rsid w:val="00E35BC8"/>
    <w:rsid w:val="00E94FE1"/>
    <w:rsid w:val="00EE65EF"/>
    <w:rsid w:val="00F430F2"/>
    <w:rsid w:val="00F90F63"/>
    <w:rsid w:val="00FA2246"/>
    <w:rsid w:val="06502EF9"/>
    <w:rsid w:val="0ABF3A5D"/>
    <w:rsid w:val="14940D31"/>
    <w:rsid w:val="184C6228"/>
    <w:rsid w:val="210849BF"/>
    <w:rsid w:val="3209677E"/>
    <w:rsid w:val="3B5238B2"/>
    <w:rsid w:val="433248E2"/>
    <w:rsid w:val="4B770E79"/>
    <w:rsid w:val="55CC6B23"/>
    <w:rsid w:val="5AC04A12"/>
    <w:rsid w:val="63500020"/>
    <w:rsid w:val="63600D20"/>
    <w:rsid w:val="651E2BDF"/>
    <w:rsid w:val="6D174400"/>
    <w:rsid w:val="79CB669C"/>
    <w:rsid w:val="7BD3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楷体" w:cs="Times New Roman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spacing w:beforeLines="50" w:afterLines="50"/>
      <w:outlineLvl w:val="0"/>
    </w:pPr>
    <w:rPr>
      <w:rFonts w:eastAsia="黑体"/>
      <w:b/>
      <w:bCs/>
      <w:kern w:val="44"/>
      <w:sz w:val="28"/>
      <w:szCs w:val="4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黑体" w:hAnsi="黑体" w:eastAsia="黑体" w:cs="Times New Roman"/>
      <w:color w:val="000000"/>
      <w:sz w:val="24"/>
      <w:lang w:val="en-US" w:eastAsia="zh-CN" w:bidi="ar-SA"/>
    </w:rPr>
  </w:style>
  <w:style w:type="paragraph" w:styleId="4">
    <w:name w:val="Normal Indent"/>
    <w:basedOn w:val="1"/>
    <w:unhideWhenUsed/>
    <w:qFormat/>
    <w:uiPriority w:val="0"/>
    <w:pPr>
      <w:ind w:left="200" w:leftChars="200" w:firstLine="200" w:firstLineChars="200"/>
    </w:pPr>
    <w:rPr>
      <w:rFonts w:cs="宋体"/>
      <w:szCs w:val="21"/>
    </w:rPr>
  </w:style>
  <w:style w:type="paragraph" w:styleId="5">
    <w:name w:val="annotation text"/>
    <w:basedOn w:val="1"/>
    <w:link w:val="25"/>
    <w:semiHidden/>
    <w:unhideWhenUsed/>
    <w:qFormat/>
    <w:uiPriority w:val="99"/>
    <w:pPr>
      <w:jc w:val="left"/>
    </w:pPr>
    <w:rPr>
      <w:rFonts w:eastAsia="宋体"/>
      <w:sz w:val="21"/>
      <w:szCs w:val="24"/>
    </w:rPr>
  </w:style>
  <w:style w:type="paragraph" w:styleId="6">
    <w:name w:val="Plain Text"/>
    <w:basedOn w:val="1"/>
    <w:link w:val="24"/>
    <w:qFormat/>
    <w:uiPriority w:val="0"/>
    <w:pPr>
      <w:widowControl/>
      <w:jc w:val="left"/>
    </w:pPr>
    <w:rPr>
      <w:rFonts w:ascii="宋体" w:hAnsi="Courier New" w:eastAsia="宋体"/>
      <w:kern w:val="0"/>
      <w:sz w:val="20"/>
      <w:szCs w:val="20"/>
    </w:rPr>
  </w:style>
  <w:style w:type="paragraph" w:styleId="7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link w:val="2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Cs w:val="24"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2"/>
    <w:link w:val="9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8"/>
    <w:qFormat/>
    <w:uiPriority w:val="99"/>
    <w:rPr>
      <w:sz w:val="18"/>
      <w:szCs w:val="18"/>
    </w:rPr>
  </w:style>
  <w:style w:type="character" w:customStyle="1" w:styleId="16">
    <w:name w:val="标题 1 字符"/>
    <w:basedOn w:val="12"/>
    <w:qFormat/>
    <w:uiPriority w:val="9"/>
    <w:rPr>
      <w:rFonts w:ascii="Times New Roman" w:hAnsi="Times New Roman" w:eastAsia="楷体" w:cs="Times New Roman"/>
      <w:b/>
      <w:bCs/>
      <w:kern w:val="44"/>
      <w:sz w:val="44"/>
      <w:szCs w:val="44"/>
    </w:rPr>
  </w:style>
  <w:style w:type="character" w:customStyle="1" w:styleId="17">
    <w:name w:val="标题 1 字符1"/>
    <w:link w:val="3"/>
    <w:qFormat/>
    <w:locked/>
    <w:uiPriority w:val="0"/>
    <w:rPr>
      <w:rFonts w:ascii="Times New Roman" w:hAnsi="Times New Roman" w:eastAsia="黑体" w:cs="Times New Roman"/>
      <w:b/>
      <w:bCs/>
      <w:kern w:val="44"/>
      <w:sz w:val="28"/>
      <w:szCs w:val="44"/>
    </w:rPr>
  </w:style>
  <w:style w:type="paragraph" w:customStyle="1" w:styleId="18">
    <w:name w:val="正文1"/>
    <w:basedOn w:val="1"/>
    <w:next w:val="1"/>
    <w:link w:val="19"/>
    <w:qFormat/>
    <w:uiPriority w:val="0"/>
    <w:rPr>
      <w:rFonts w:eastAsia="楷体_GB2312"/>
      <w:kern w:val="0"/>
      <w:szCs w:val="20"/>
    </w:rPr>
  </w:style>
  <w:style w:type="character" w:customStyle="1" w:styleId="19">
    <w:name w:val="正文1 Char"/>
    <w:link w:val="18"/>
    <w:qFormat/>
    <w:locked/>
    <w:uiPriority w:val="0"/>
    <w:rPr>
      <w:rFonts w:ascii="Times New Roman" w:hAnsi="Times New Roman" w:eastAsia="楷体_GB2312" w:cs="Times New Roman"/>
      <w:kern w:val="0"/>
      <w:sz w:val="24"/>
      <w:szCs w:val="20"/>
    </w:rPr>
  </w:style>
  <w:style w:type="character" w:customStyle="1" w:styleId="20">
    <w:name w:val="普通(网站) 字符"/>
    <w:link w:val="10"/>
    <w:qFormat/>
    <w:locked/>
    <w:uiPriority w:val="0"/>
    <w:rPr>
      <w:rFonts w:ascii="宋体" w:hAnsi="宋体" w:eastAsia="宋体" w:cs="Times New Roman"/>
      <w:kern w:val="0"/>
      <w:sz w:val="24"/>
      <w:szCs w:val="24"/>
    </w:rPr>
  </w:style>
  <w:style w:type="paragraph" w:customStyle="1" w:styleId="21">
    <w:name w:val="zw正文"/>
    <w:basedOn w:val="1"/>
    <w:link w:val="22"/>
    <w:qFormat/>
    <w:uiPriority w:val="0"/>
    <w:pPr>
      <w:snapToGrid w:val="0"/>
      <w:spacing w:line="300" w:lineRule="auto"/>
      <w:ind w:firstLine="200" w:firstLineChars="200"/>
      <w:jc w:val="left"/>
    </w:pPr>
    <w:rPr>
      <w:szCs w:val="28"/>
    </w:rPr>
  </w:style>
  <w:style w:type="character" w:customStyle="1" w:styleId="22">
    <w:name w:val="zw正文 Char"/>
    <w:basedOn w:val="12"/>
    <w:link w:val="21"/>
    <w:qFormat/>
    <w:uiPriority w:val="0"/>
    <w:rPr>
      <w:rFonts w:ascii="Times New Roman" w:hAnsi="Times New Roman" w:eastAsia="楷体" w:cs="Times New Roman"/>
      <w:sz w:val="24"/>
      <w:szCs w:val="28"/>
    </w:rPr>
  </w:style>
  <w:style w:type="character" w:customStyle="1" w:styleId="23">
    <w:name w:val="纯文本 Char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4">
    <w:name w:val="纯文本 字符"/>
    <w:link w:val="6"/>
    <w:qFormat/>
    <w:locked/>
    <w:uiPriority w:val="0"/>
    <w:rPr>
      <w:rFonts w:ascii="宋体" w:hAnsi="Courier New" w:eastAsia="宋体" w:cs="Times New Roman"/>
      <w:kern w:val="0"/>
      <w:sz w:val="20"/>
      <w:szCs w:val="20"/>
    </w:rPr>
  </w:style>
  <w:style w:type="character" w:customStyle="1" w:styleId="25">
    <w:name w:val="批注文字 字符"/>
    <w:basedOn w:val="12"/>
    <w:link w:val="5"/>
    <w:qFormat/>
    <w:uiPriority w:val="0"/>
    <w:rPr>
      <w:kern w:val="2"/>
      <w:sz w:val="21"/>
      <w:szCs w:val="24"/>
    </w:rPr>
  </w:style>
  <w:style w:type="character" w:customStyle="1" w:styleId="26">
    <w:name w:val="批注框文本 字符"/>
    <w:basedOn w:val="12"/>
    <w:link w:val="7"/>
    <w:semiHidden/>
    <w:qFormat/>
    <w:uiPriority w:val="99"/>
    <w:rPr>
      <w:rFonts w:eastAsia="楷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228</Words>
  <Characters>1303</Characters>
  <Lines>10</Lines>
  <Paragraphs>3</Paragraphs>
  <TotalTime>9</TotalTime>
  <ScaleCrop>false</ScaleCrop>
  <LinksUpToDate>false</LinksUpToDate>
  <CharactersWithSpaces>1528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2019-06-13T09:39:00Z</dcterms:created>
  <dc:creator>zhou</dc:creator>
  <cp:lastModifiedBy>大脸猫大脸猫爱吃鱼</cp:lastModifiedBy>
  <dcterms:modified xsi:type="dcterms:W3CDTF">2021-11-19T00:43:14Z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CAE53C2BE03646AABFB968EC24967A7E</vt:lpwstr>
  </property>
</Properties>
</file>