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/>
        <w:jc w:val="center"/>
      </w:pPr>
      <w:r>
        <w:rPr>
          <w:rFonts w:ascii="华文中宋" w:hAnsi="华文中宋" w:eastAsia="华文中宋" w:cs="华文中宋"/>
          <w:color w:val="333333"/>
          <w:sz w:val="36"/>
          <w:szCs w:val="36"/>
          <w:u w:val="none"/>
        </w:rPr>
        <w:t>精准资助和资助育人典型工作案例报送要求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ascii="黑体" w:hAnsi="宋体" w:eastAsia="黑体" w:cs="黑体"/>
          <w:color w:val="333333"/>
          <w:sz w:val="31"/>
          <w:szCs w:val="31"/>
          <w:u w:val="none"/>
        </w:rPr>
        <w:t>一、案例征集范围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案例要集中展现在落实学生资助政策过程中，实施精准资助和资助育人工作方面的典型经验。具体包括：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30"/>
        <w:jc w:val="left"/>
      </w:pPr>
      <w:r>
        <w:rPr>
          <w:rStyle w:val="4"/>
          <w:rFonts w:hint="eastAsia" w:ascii="仿宋" w:hAnsi="仿宋" w:eastAsia="仿宋" w:cs="仿宋"/>
          <w:bCs w:val="0"/>
          <w:color w:val="333333"/>
          <w:sz w:val="31"/>
          <w:szCs w:val="31"/>
          <w:u w:val="none"/>
        </w:rPr>
        <w:t>精准资助方面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1.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预算资金分配精准方面。根据经济发展水平、贫困人口和家庭经济困难学生分布情况等，采用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“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因素分析法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”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等方法，科学合理测算和分配资助资金预算。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2.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资助对象精准认定方面。各地各校在制定家庭经济困难学生认定办法、完善认定机制方面的探索与成效。如建立家庭经济困难学生困难程度认定指标体系；建立家庭经济困难学生库等。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3.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资助力度精准方面。各地各校根据学生家庭经济困难程度，加大资助力度，确保最困难学生顺利入学、完成学业的主要做法。如在落实国家资助政策的基础上，增设资助项目、提标扩面；在统筹社会和学校资助资金、加大对特困学生资助力度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4.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资金发放精准方面。各地各校结合实际，在发放机制方面进行探索，确保家庭经济困难学生在最需要时，以最便捷的方式将资助资金发放到他们手上。如助学金按月发放；建立预拨结算制等。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5.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管理技术手段创新方面。各地各校充分发挥学生资助管理信息系统功能，精准管理每个学生信息和受助学生信息；创新技术手段，确保受助学生信息能安全、及时准确采集，做到精准管理。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6.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资助政策执行力方面。各地各校加强资助机构和队伍建设、提高管理水平和服务质量，为打通政策落实的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“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最后一公里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”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而进行的探索创新。如组织学生资助管理人员及系统管理人员、学生干部培训等。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30"/>
        <w:jc w:val="left"/>
      </w:pPr>
      <w:r>
        <w:rPr>
          <w:rStyle w:val="4"/>
          <w:rFonts w:hint="eastAsia" w:ascii="仿宋" w:hAnsi="仿宋" w:eastAsia="仿宋" w:cs="仿宋"/>
          <w:bCs w:val="0"/>
          <w:color w:val="333333"/>
          <w:sz w:val="31"/>
          <w:szCs w:val="31"/>
          <w:u w:val="none"/>
        </w:rPr>
        <w:t>资助育人方面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1.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资助育人顶层设计方面。各地各校因地制宜，构建包括物质帮助、道德浸润、能力拓展、精神激励、规范管理等方面的长效机制。如资助育人注重统筹规划，综合施策，上下联动；转变资助工作理念，统一思想认识，把资助工作的重心转移到精准资助和资助育人上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2.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落实资助育人各方责任方面。各地各校动员各方力量，合力推进资助育人工作。如学校发挥资助育人主阵地作用；行政部门发挥监督指导作用；相关媒体发挥好舆论引导作用；励志成才典型发挥引领带头作用。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3.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创新资助育人方式和渠道方面。各地各校创新方式和渠道开展资助育人工作。如发挥奖学金导向作用，挖掘受资助的优秀学生典型，用学生身边的真实事例激励广大学生；打造易于学生接受的新模式，开展成长成才主题征文、演讲、微电影、志愿者服务等活动；重点培育学生的创新精神，鼓励个性发展和独立思考；鼓励和帮助受助学生广泛参加社会调查、生产劳动、科技发明和勤工助学等活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4.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找准资助与育人紧密“结合点”方面。各地各校针对不同时间点，不同的受助群体开展不同的育人活动。如五四青年节开展爱国教育、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“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七一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”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前多开展爱党教育、奖助学金评审及发放时开展感恩教育、寒暑假期间开展回馈社会的实践活动、家庭走访活动等；对贷款学生开展诚信教育、对家庭经济困难学生开展自信自立自强教育、对低年级学生开展励志教育、对高年级学生开展创新创业实践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5.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资助育人成效考核方面。各地各校在资助育人过程中注重实效，建立标准，及时考核。例如如何看受助学生责任意识是否明显提高，言行举止是否体现社会主义核心价值观；如何看受助学生创新意识实践能力是否明显提高，家庭经济困难学生就业本领是否明显增强；如何看受助学生成长成才比重是否每年有所提高，回馈社会比重是否每年有所提高如何开展资助满意度调查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黑体" w:hAnsi="宋体" w:eastAsia="黑体" w:cs="黑体"/>
          <w:color w:val="333333"/>
          <w:sz w:val="31"/>
          <w:szCs w:val="31"/>
          <w:u w:val="none"/>
        </w:rPr>
        <w:t>二、案例编写要求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1.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标题醒目。每个案例的标题要高度凝练，准确简洁。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2.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亮点突出。每个案例要集中体现精准资助或资助育人某一方面的经验，讲深、讲透、可借鉴、可推广，不要面面俱到，更不要写成工作总结。如有多方面的经验，请通过多个案例分别阐述，不要糅杂在一个案例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3.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每个案例正文字数原则上不超过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2000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字，按三个方面叙述：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1.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工作开展的背景；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2.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工作的主要做法；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3.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工作取得的主要成效。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黑体" w:hAnsi="宋体" w:eastAsia="黑体" w:cs="黑体"/>
          <w:color w:val="333333"/>
          <w:sz w:val="31"/>
          <w:szCs w:val="31"/>
          <w:u w:val="none"/>
        </w:rPr>
        <w:t>三、案例遴选及结果应用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20" w:firstLineChars="200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学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eastAsia="zh-CN"/>
        </w:rPr>
        <w:t>院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后期将组织工作交流，并将遴选出的优秀工作案例推荐上报江苏省资助管理中心。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1365" w:right="0" w:hanging="720"/>
        <w:jc w:val="left"/>
      </w:pPr>
      <w:r>
        <w:rPr>
          <w:rFonts w:hint="eastAsia" w:ascii="黑体" w:hAnsi="宋体" w:eastAsia="黑体" w:cs="黑体"/>
          <w:color w:val="333333"/>
          <w:sz w:val="31"/>
          <w:szCs w:val="31"/>
          <w:u w:val="none"/>
          <w:lang w:val="en-US"/>
        </w:rPr>
        <w:t>四、</w:t>
      </w:r>
      <w:r>
        <w:rPr>
          <w:rFonts w:hint="eastAsia" w:ascii="黑体" w:hAnsi="宋体" w:eastAsia="黑体" w:cs="黑体"/>
          <w:color w:val="333333"/>
          <w:sz w:val="31"/>
          <w:szCs w:val="31"/>
          <w:u w:val="none"/>
        </w:rPr>
        <w:t>案例报送时间及方式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1.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报送时间：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  <w:lang w:val="en-US"/>
        </w:rPr>
        <w:t>2018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</w:rPr>
        <w:t>年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  <w:lang w:val="en-US"/>
        </w:rPr>
        <w:t>1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</w:rPr>
        <w:t>月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  <w:lang w:val="en-US"/>
        </w:rPr>
        <w:t>1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1"/>
          <w:szCs w:val="31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2.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各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eastAsia="zh-CN"/>
        </w:rPr>
        <w:t>系部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报送</w:t>
      </w:r>
      <w:r>
        <w:rPr>
          <w:rStyle w:val="4"/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1</w:t>
      </w:r>
      <w:r>
        <w:rPr>
          <w:rFonts w:hint="eastAsia" w:ascii="仿宋" w:hAnsi="仿宋" w:eastAsia="仿宋" w:cs="仿宋"/>
          <w:color w:val="333333"/>
          <w:sz w:val="31"/>
          <w:szCs w:val="31"/>
          <w:u w:val="none"/>
        </w:rPr>
        <w:t>个典型工作案例。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leftChars="0" w:right="0" w:firstLine="638" w:firstLineChars="206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u w:val="none"/>
          <w:lang w:val="en-US"/>
        </w:rPr>
        <w:t>3.报送内容：工作案例文本电子稿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486B"/>
    <w:rsid w:val="134E5976"/>
    <w:rsid w:val="19960FCD"/>
    <w:rsid w:val="56595947"/>
    <w:rsid w:val="729A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szCs w:val="24"/>
      <w:u w:val="none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2018-01-11T01:29:38Z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